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9615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6158" w:rsidRDefault="007E73F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96158" w:rsidRDefault="007E73FD">
            <w:pPr>
              <w:spacing w:after="0" w:line="240" w:lineRule="auto"/>
            </w:pPr>
            <w:r>
              <w:t>50395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6158" w:rsidRDefault="007E73F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96158" w:rsidRDefault="007E73FD">
            <w:pPr>
              <w:spacing w:after="0" w:line="240" w:lineRule="auto"/>
            </w:pPr>
            <w:r>
              <w:t>KAZNIONICA U POŽEGI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6158" w:rsidRDefault="007E73F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96158" w:rsidRDefault="007E73FD">
            <w:pPr>
              <w:spacing w:after="0" w:line="240" w:lineRule="auto"/>
            </w:pPr>
            <w:r>
              <w:t>11</w:t>
            </w:r>
          </w:p>
        </w:tc>
      </w:tr>
    </w:tbl>
    <w:p w:rsidR="00996158" w:rsidRDefault="007E73FD">
      <w:r>
        <w:br/>
      </w:r>
    </w:p>
    <w:p w:rsidR="00996158" w:rsidRDefault="007E73F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96158" w:rsidRDefault="007E73F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96158" w:rsidRDefault="007E73FD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6.119.760,09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7.115.687,74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5.068.717,11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6.639.291,25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9961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1.000.525,62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509.548,39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50,9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961.060,98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1.076.801,15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112,0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9961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961.060,98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1.076.801,15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112,0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9961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9961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567.252,76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Ukupni prihodi poslovanja veći su za 16,3 % u odnosu</w:t>
      </w:r>
      <w:r>
        <w:t xml:space="preserve"> na izvještajno razdoblje prethodne godine. Rezultat je to zbog više evidentiranih prihoda iz nadležnog proračuna, a ponajviše zbog prihoda po osnovi plaća za zaposlene koje su znatno povećane u razdoblju od ožujka 2024. stupanjem nove Uredbe o nazivima ra</w:t>
      </w:r>
      <w:r>
        <w:t>dnih mjesta, uvjetima za raspored i koeficijentima za obračun plaće u državnoj službi. Ukupni rashodi poslovanja veći su za 31 % u odnosu na isto razdoblje prethodne godine, najvećim dijelom zbog plaća koji su priznati kao trošak u razdoblju 06/2025, a dos</w:t>
      </w:r>
      <w:r>
        <w:t xml:space="preserve">pijevaju u 07/2025, odnosno zbog ukidanja kontinuiranih rashoda budućih </w:t>
      </w:r>
      <w:r>
        <w:lastRenderedPageBreak/>
        <w:t xml:space="preserve">razdoblja zbog čega na polugodišnjem izvještaju imamo 7 mjesečnih rashoda plaće i naknade za prijevoz, a istovremeno 6 mjesečnih prihoda te zbog povećanja cijena materijala, sirovina, </w:t>
      </w:r>
      <w:r>
        <w:t>energenata i usluga.    Višak prihoda poslovanja rezultat su više doznačenih sredstava iz državnog proračuna  čime je financirana nabava nefinancijske imovine te zbog više ostvarenih prihoda od prodaje roba i proizvoda.  Manjak prihoda od nefinancijske imo</w:t>
      </w:r>
      <w:r>
        <w:t>vine iznosi 1.076.801,15 EUR, razlog je što je nabava imovine financirana iz prihoda poslovanja, obzirom da nema prihoda od prodaje nefinancijske imovine.   Manjak prihoda i primitaka (tekući) temeljem svega navedenog iznosi 567.252,76 EUR.</w:t>
      </w:r>
    </w:p>
    <w:p w:rsidR="00996158" w:rsidRDefault="007E73FD">
      <w:r>
        <w:br/>
      </w:r>
    </w:p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 xml:space="preserve">Evidentirani su prihodi </w:t>
      </w:r>
      <w:r>
        <w:t xml:space="preserve">temeljem potpore koju je doznačio Fond za zaštitu okoliša i energetsku učinkovitost, a temeljem Javnog poziv za sufinanciranje nabave uređaja za sprječavanje nastanka </w:t>
      </w:r>
      <w:proofErr w:type="spellStart"/>
      <w:r>
        <w:t>biootpada</w:t>
      </w:r>
      <w:proofErr w:type="spellEnd"/>
      <w:r>
        <w:t xml:space="preserve"> (otpada od hrane) u kaznenim tijelima zatvorskog sustava Ministarstva pravosuđa</w:t>
      </w:r>
      <w:r>
        <w:t xml:space="preserve"> i uprave RH (JP EU-1/2024)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između proračunskih korisnika istog proračuna </w:t>
            </w:r>
            <w:r>
              <w:rPr>
                <w:sz w:val="18"/>
              </w:rPr>
              <w:t>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87.814,59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51.877,80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Ukupno iznose 51.877,80 €, a odnose se na namjenska sredstva koja je doznačila Agencija za plaćanje u poljoprivredi, ribarstvu i ruralnom razvoju za poticaje u poljoprivredi i stočarstvu.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162,8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Navedeni prihodi u ukupnom</w:t>
      </w:r>
      <w:r>
        <w:t xml:space="preserve"> iznosu od 21,64 € ostvareni su s osnova naplaćenih kamata na depozite po viđenju.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7.345,69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 xml:space="preserve">Evidentirani su prihodi s osnove sufinanciranja troškova sprovođenja zatvorenika i kopiranja za zatvorenike te </w:t>
      </w:r>
      <w:r>
        <w:t>iznosi1.290,19 € te namjenski prihodi po osnovi štete od osiguranja u iznosu od 6.055,50 €.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351.357,77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446.191,94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 xml:space="preserve">Prihodi od prodaje proizvoda i robe te pruženih usluga odnose se na prihode koje je </w:t>
      </w:r>
      <w:r>
        <w:t xml:space="preserve">Kaznionica ostvarila temeljem  radionica koje su ustrojene u sklopu Kaznionice. Prihodi od prodaje proizvoda i robe odnose se na poljoprivredne proizvode (stoka, usjevi), proizvode krojačke radionice i metalske radionice. Prihodi od pruženih usluga odnose </w:t>
      </w:r>
      <w:r>
        <w:t xml:space="preserve">se na usluge koje Kaznionica ima također u sklopu radionica, a to su radionica ugostiteljstva, radionica održavanja (uslužno pranje posteljine), radionica slobodnih aktivnosti. Prihodi su povećani u odnosu na prethodnu godinu zbog porasta prodaje te rasta </w:t>
      </w:r>
      <w:r>
        <w:t>cijena prodanih proizvoda.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i od HZZO-a na temelju </w:t>
            </w:r>
            <w:r>
              <w:rPr>
                <w:sz w:val="18"/>
              </w:rPr>
              <w:t>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5.672.208,67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6.584.248,45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 xml:space="preserve">Ukupno prihodi na ovom kontu veći su za 16,1 % u odnosu na prethodnu godinu i iznose 6.584.248,45 €, a služe za pokriće rashoda redovnog poslovanja i rashoda za nabavu nefinancijske </w:t>
      </w:r>
      <w:r>
        <w:t>imovine. Prihodi iz nadležnog proračuna za financiranje rashoda poslovanja iznose 5.569.952,00 € dok prihodi iz nadležnog proračuna za financiranje rashoda za nabavu nefinancijske imovine iznose 1.014.296,45€.  Veći prihodi rezultat su povećanja plaća za z</w:t>
      </w:r>
      <w:r>
        <w:t>aposlene i dodatnih zapošljavanja službenika temeljem kojih se navedeni prihodi evidentiraju.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Navedeni prihodi u ukupnom iznosu od 127,22 € ostvareni su temeljem naknada za vodu za zajedničko brojilo i prodaje ambalaže.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3.630.346,45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5.089.844,34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 xml:space="preserve">31 Rashodi za zaposlene iznose 5.089.844,34 € i veći su za 40,2 % u odnosu na </w:t>
      </w:r>
      <w:r>
        <w:t>izvještajno razdoblje prethodne godine, a do povećanja je došlo uslijed zapošljavanja službenika (14 službenika više u odnosu na izvještajno razdoblje prihodne godine), obračuna minulog rada za svakog službenika tijekom izvještajnog razdoblja koji se poveć</w:t>
      </w:r>
      <w:r>
        <w:t xml:space="preserve">ava za 0,5 % navršavanjem pune godine radnog staža, rastom plaća temeljem nove Uredbe kao i povećanjem prekovremenih sati. Također, plaće su veće jer se novim Pravilnikom o proračunskom računovodstvu i računskom planu ukinula podskupina 193 – Kontinuirani </w:t>
      </w:r>
      <w:r>
        <w:t>rashodi i isti su se prenijeli na odgovarajuće račune razreda 3 Rashodi. Time je u navedenom razdoblju evidentirano 7 troška plaće za zaposlene, dok je u promatranom razdoblju prethodne godine evidentirano 6 troška.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1.416.530,90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1.544.805,44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 xml:space="preserve">Materijalni rashodi veći su za  9,1 %  </w:t>
      </w:r>
      <w:r>
        <w:t>i ukupno iznose 1.544.805,44 €. Najveća odstupanje u odnosu na izvještajno razdoblje prethodne godine su na kontu naknade prijevoza, za rad na terenu i odvojeni život, materijala i sirovina jer je došlo do povećanja brojnog stanja zatvorenica i zatvorenika</w:t>
      </w:r>
      <w:r>
        <w:t>.  Na kontu energije i komunalnih usluga evidentan je porast rashoda u tekućem izvještajnom razdoblju zbog ukidanja podskupine 193.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152,2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 xml:space="preserve">Veći su za 52,20 % u odnosu na iskazane u izvještajnom razdoblju prethodne godine. Isti se odnose na obračunate iznose platnoga prometa za </w:t>
      </w:r>
      <w:r>
        <w:t>redovno poslovanje i ovise o visini priljeva i odljeva novca po transakcijskim računima, broju provedenih platnih naloga te o cjeniku  naknada  za bankarske usluge. Plaćanje materijalnih rashoda od listopada 2023. vrši se sa žiro računa Kaznionice, a do ta</w:t>
      </w:r>
      <w:r>
        <w:t>da je isto bilo izvršeno sa računa državne riznice.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Građevinski objekti (šifre 4211 do </w:t>
            </w:r>
            <w:r>
              <w:rPr>
                <w:sz w:val="18"/>
              </w:rPr>
              <w:t>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Izrada ograde u iznosu 12.550,00 €.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Uredska oprema i </w:t>
            </w:r>
            <w:r>
              <w:rPr>
                <w:sz w:val="18"/>
              </w:rPr>
              <w:t>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14.055,55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18,0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Pisači u iznosu 356,00 € i stolovi, stolice i ormari u iznosu 2.180,00 €.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15.864,00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6,2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Nabava mobitela u iznosu 985,00 €.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74,0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Iznos od 303,00 € odnosi se na nabavu usisavača.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23.634,65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Iznos od 2.450,00 € odnosi se na nabavu visokotlačnog perača.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22.999,49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78.800,26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342,6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 xml:space="preserve">Iznos od 78.800,26 € odnosi se na nabavu mikrovalne, indukcijske ploče, uređaja za </w:t>
      </w:r>
      <w:proofErr w:type="spellStart"/>
      <w:r>
        <w:t>biootpad</w:t>
      </w:r>
      <w:proofErr w:type="spellEnd"/>
      <w:r>
        <w:t xml:space="preserve"> </w:t>
      </w:r>
      <w:r>
        <w:t xml:space="preserve">(digestor), termometar, kolica za </w:t>
      </w:r>
      <w:proofErr w:type="spellStart"/>
      <w:r>
        <w:t>kipanje</w:t>
      </w:r>
      <w:proofErr w:type="spellEnd"/>
      <w:r>
        <w:t xml:space="preserve">, kuhinjska vaga, </w:t>
      </w:r>
      <w:proofErr w:type="spellStart"/>
      <w:r>
        <w:t>elektro</w:t>
      </w:r>
      <w:proofErr w:type="spellEnd"/>
      <w:r>
        <w:t xml:space="preserve"> parno glačalo, hladnjak i grijalice, </w:t>
      </w:r>
      <w:proofErr w:type="spellStart"/>
      <w:r>
        <w:t>elektroparnog</w:t>
      </w:r>
      <w:proofErr w:type="spellEnd"/>
      <w:r>
        <w:t xml:space="preserve"> kotla, parne postaje, kompresora, dizalice, invalidskih kolica, </w:t>
      </w:r>
      <w:proofErr w:type="spellStart"/>
      <w:r>
        <w:t>puhalnika</w:t>
      </w:r>
      <w:proofErr w:type="spellEnd"/>
      <w:r>
        <w:t>, pokretnih ljestava te pile za rasijecanje.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191.604,06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55.460,00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28,9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Iznos od 55.460,00 € odnosi se na</w:t>
      </w:r>
      <w:r>
        <w:t xml:space="preserve"> nabavu traktora.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stado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Iznos od 55.460,00 € odnosi se na</w:t>
      </w:r>
      <w:r>
        <w:t xml:space="preserve"> nabavu ovnova (2 kom).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686.351,98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924.621,51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134,7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 xml:space="preserve">Najveći troškovi odnose se na adaptaciju zgrade klaonice u iznosu 326.932,60 € te na adaptaciju zgrade poluotvorenog odjela za zatvorenice u iznosu od 569.617,75 € kao i radovi zamjene stolarije na objektu za tov svinja u iznosu od </w:t>
      </w:r>
      <w:r>
        <w:t>44.695,21 €. Od ostalih dodatnih ulaganja bila zamjena stolarije na vikendici u Velikoj, dobava i montaža rolo vrata, zamjena limarije na objektu pecala te izrada elektroinstalacija u prostoru arhive, stručni nadzori te projektne dokumentacije.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2</w:t>
      </w:r>
      <w:r>
        <w:rPr>
          <w:sz w:val="28"/>
        </w:rPr>
        <w:t>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9961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Y005 + '9222-9221' - X005 - </w:t>
            </w:r>
            <w:r>
              <w:rPr>
                <w:sz w:val="18"/>
              </w:rPr>
              <w:t>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228.803,11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Manjak prihoda i primitaka za pokriće u sljedećem razdoblju na navedenoj poziciji iskazan je u iznosu od 228.803,11 €.  Iskazani manjak prihoda i primitaka za 2025. godinu u iznosu od 567.252,76 € smanjio je preneseni</w:t>
      </w:r>
      <w:r>
        <w:t xml:space="preserve"> višak prihoda poslovanja od 338.449,65 €. Iskazani manjak rezultat je rashoda (ponajviše plaća) koji su priznati kao trošak u razdoblju 06/2025, a dospijevaju u 07/2025.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9961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50.923,55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lastRenderedPageBreak/>
        <w:t xml:space="preserve">Dospjele obveze odnose se na obveze za materijalne rashode u iznosu 50.623,98 € i obveze za nabavu nefinancijske imovine u iznosu </w:t>
      </w:r>
      <w:r>
        <w:t>299,57 €. Dospjele obveze nisu podmirene iz razloga što su neki od računa dostavljeni nakon slanja zahtjeva za doznakom sredstava iz riznice kako bi se podmirili računi.</w:t>
      </w:r>
    </w:p>
    <w:p w:rsidR="00996158" w:rsidRDefault="00996158"/>
    <w:p w:rsidR="00996158" w:rsidRDefault="007E73F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96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61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9961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899.847,81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6158" w:rsidRDefault="007E73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6158" w:rsidRDefault="00996158">
      <w:pPr>
        <w:spacing w:after="0"/>
      </w:pPr>
    </w:p>
    <w:p w:rsidR="00996158" w:rsidRDefault="007E73FD">
      <w:pPr>
        <w:spacing w:line="240" w:lineRule="auto"/>
        <w:jc w:val="both"/>
      </w:pPr>
      <w:r>
        <w:t>Nedospjele obveze odnose se na: - međusobne obveze subjekta općeg proračuna (bolovanja na teret HZZO-a u iznosu od 5.092,52 € - obveze</w:t>
      </w:r>
      <w:r>
        <w:t xml:space="preserve"> za rashode za zaposlene (plaća za 06/2025) u iznosu od 674.483,93 € - obveze za materijalne rashode u iznosu od 147.608,72 € - obveze za porez na dodanu vrijednost u iznosu 5.430,10 € - obveze za nabavu nefinancijske imovine u iznosu od 14.845,64 €. - obv</w:t>
      </w:r>
      <w:r>
        <w:t>eze za  jamčevine i obveze za povrat u DP (KOPP) u iznosu od 52.386,90 €.</w:t>
      </w:r>
    </w:p>
    <w:p w:rsidR="00996158" w:rsidRDefault="00996158"/>
    <w:sectPr w:rsidR="00996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58"/>
    <w:rsid w:val="007E73FD"/>
    <w:rsid w:val="009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F22D9-1E21-4CFA-B1A2-A24E3380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2095</Words>
  <Characters>11942</Characters>
  <Application>Microsoft Office Word</Application>
  <DocSecurity>0</DocSecurity>
  <Lines>99</Lines>
  <Paragraphs>28</Paragraphs>
  <ScaleCrop>false</ScaleCrop>
  <Company>MPU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Dominko Vidović</dc:creator>
  <cp:lastModifiedBy>Dominko Vidović</cp:lastModifiedBy>
  <cp:revision>2</cp:revision>
  <dcterms:created xsi:type="dcterms:W3CDTF">2025-07-10T12:11:00Z</dcterms:created>
  <dcterms:modified xsi:type="dcterms:W3CDTF">2025-07-10T12:11:00Z</dcterms:modified>
</cp:coreProperties>
</file>